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489</w:t>
      </w:r>
    </w:p>
    <w:p>
      <w:r>
        <w:t>Bundesgericht (BGE), 2010-08-26, DE</w:t>
      </w:r>
    </w:p>
    <w:p>
      <w:r>
        <w:rPr>
          <w:b/>
        </w:rPr>
        <w:t xml:space="preserve">Quelle: </w:t>
      </w:r>
      <w:r>
        <w:t>https://mcp.opencaselaw.ch/entscheid/bge_136 II 489</w:t>
      </w:r>
    </w:p>
    <w:p>
      <w:r>
        <w:t>FR: ATF 136 II 489</w:t>
      </w:r>
    </w:p>
    <w:p>
      <w:r>
        <w:t>IT: DTF 136 II 489</w:t>
      </w:r>
    </w:p>
    <w:p>
      <w:pPr>
        <w:pStyle w:val="Heading2"/>
      </w:pPr>
      <w:r>
        <w:t>Regeste</w:t>
      </w:r>
    </w:p>
    <w:p>
      <w:r>
        <w:t>Regeste Art. 72 ff., 82 ff. und 113 ff. BGG, Art. 16 und 50 TG; Rechtsmittelweg bei der Anfechtung eines Kontrollzuschlages für die Benutzung eines öffentlichen Verkehrsbetriebes ohne gültigen Fahrschein. Der Zuschlag dient der Entgeltung des Kontrollaufwands auf Seiten der Transportunternehmung und ist zivilrechtlicher Natur. Die Beschwerde in öffentlich-rechtlichen Angelegenheiten an das Bundesgericht ist ausgeschlossen. Wegen Fehlens des erforderlichen Streitwerts bzw. des Nachweises der grundsätzlichen Bedeutung der zu beurteilenden Rechtsfrage ist auch die Beschwerde in Zivilsachen unzulässig. Hingegen steht die subsidiäre Verfassungsbeschwerde offen (E. 1 und 2). Zwar wurde im Kanton der falsche, nämlich der öffentlich-rechtliche Rechtsmittelweg durchlaufen; es handelt sich dabei hier aber nicht um einen besonders schweren und offensichtlichen Mangel, der zur Nichtigkeit des kantonal letztinstanzlichen Urteils führt, die von Amtes wegen zu berücksichtigen wäre (E. 3).</w:t>
      </w:r>
    </w:p>
    <w:p>
      <w:pPr>
        <w:pStyle w:val="Heading2"/>
      </w:pPr>
      <w:r>
        <w:t>Erwägungen</w:t>
      </w:r>
    </w:p>
    <w:p>
      <w:r>
        <w:rPr>
          <w:b/>
        </w:rPr>
        <w:t>E. 1</w:t>
      </w:r>
    </w:p>
    <w:p>
      <w:r>
        <w:t>Am 1. Januar 2010 ist das Bundesgesetz vom 20. März 2009 über die Personenbeförderung (Personenbeförderungsgesetz, PBG; SR 745.1; AS 2009 5631) in Kraft getreten, das im vorliegenden Fall jedoch nicht Anwendung findet. Einschlägig ist vielmehr noch das Bundesgesetz vom 4. Oktober 1985 über den Transport im öffentlichen Verkehr (Transportgesetz, TG; AS 1986 1974), ergänzt durch das Bundesgesetz vom 18. Juni 1993 über die Personenbeförderung und die Zulassung als Strassentransportunternehmung (altes Personenbeförderungsgesetz, aPBG; AS 1993 3128), das hier aber nicht von Bedeutung ist.</w:t>
      </w:r>
    </w:p>
    <w:p>
      <w:r>
        <w:rPr>
          <w:b/>
        </w:rPr>
        <w:t>E. 2.1</w:t>
      </w:r>
    </w:p>
    <w:p>
      <w:r>
        <w:t>Der Beschwerdeführer bezeichnet seine Eingabe als "staatsrechtliche Beschwerde". Seit dem Inkrafttreten des Bundesgerichtsgesetzes am 1. Januar 2007 gibt es dieses Rechtsmittel allerdings nicht mehr. Hingegen ist zu prüfen, ob die Eingabe die Voraussetzungen einer der Beschwerdearten nach dem heute gültigen und auch hier anwendbaren Bundesgesetz vom 17. Juni 2005 über das Bundesgericht (Bundesgerichtsgesetz, BGG; SR 173.110) erfüllt.</w:t>
      </w:r>
    </w:p>
    <w:p>
      <w:r>
        <w:rPr>
          <w:b/>
        </w:rPr>
        <w:t>E. 2.2</w:t>
      </w:r>
    </w:p>
    <w:p>
      <w:r>
        <w:t>In Frage kommt zunächst die Beschwerde in öffentlich-rechtlichen Angelegenheiten nach Art. 82 ff. BGG . Angefochten ist ein kantonal letztinstanzlicher Endentscheid, gegen den diese Beschwerde grundsätzlich offensteht, falls es sich um einen Entscheid im Anwendungsbereich des öffentlichen Rechts handelt. Die kantonalen Instanzen haben den Streitfall als öffentlich-rechtlichen behandelt. Ob dies zutrifft, ist jedoch fraglich und wird insbesondere vom Bundesamt für Verkehr indirekt in Frage gestellt. Dieses macht - allerdings in der Sache und nicht unter dem Gesichtspunkt einer Sachurteilsvoraussetzung - geltend, es handle sich vorliegend um einen BGE 136 II 489 S. 492 zivilrechtlichen Streit, weshalb die Verkehrsbetriebe gar nicht hätten verfügen dürfen.</w:t>
      </w:r>
    </w:p>
    <w:p>
      <w:r>
        <w:rPr>
          <w:b/>
        </w:rPr>
        <w:t>E. 2.3</w:t>
      </w:r>
    </w:p>
    <w:p>
      <w:r>
        <w:t>Für die Zulässigkeit der Beschwerde in öffentlich-rechtlichen Angelegenheiten kommt es nicht darauf an, ob eine gerichtliche Behörde der öffentlichen Rechtspflege als Vorinstanz entschieden hat. Massgeblich ist einzig, welches Rechtsgebiet die Angelegenheit in der Sache regelt (BBl 2001 4319; BERNHARD WALDMANN, in: Basler Kommentar, Bundesgerichtsgesetz, 2008, N. 19 zu Art. 82 BGG ; ALAIN WURZBURGER, in: Commentaire de la LTF, 2009, N. 62 zu Art. 82 BGG ). Ob die Beschwerde in Zivil- oder in Strafsachen oder in öffentlich-rechtlichen Angelegenheiten offensteht, entscheidet sich mithin nach der rechtlichen Grundlage der Streitsache (vgl. BBl 2001 4319; YVES DONZALLAZ, Loi sur le Tribunal fédéral, Commentaire, 2008, Rz. 2660; WALDMANN, a.a.O., N. 19 zu Art. 82 BGG ; WURZBURGER, a.a.O., N. 63 zu Art. 82 BGG ). Den Ausschlag gibt insbesondere nicht, ob eine Verfügung ergangen ist. Verfügungen gibt es auch in Rechtsgebieten, die in unmittelbarem Zusammenhang mit dem Zivilrecht stehen und deshalb der Beschwerde in Zivilsachen unterliegen (vgl. Art. 72 Abs. 2 lit. b BGG ).</w:t>
      </w:r>
    </w:p>
    <w:p>
      <w:r>
        <w:rPr>
          <w:b/>
        </w:rPr>
        <w:t>E. 2.4</w:t>
      </w:r>
    </w:p>
    <w:p>
      <w:r>
        <w:t>Nach Art. 50 TG werden vermögensrechtliche Streitigkeiten zwischen dem Kunden und der Transportunternehmung durch den Zivilrichter beurteilt (Abs. 1). Für die übrigen Streitigkeiten gelten die Vorschriften der Bundesverwaltungsrechtspflege (Abs. 2). Die herrschende Lehre leitet daraus ab, dass die Transportverträge selbst dem Privatrecht unterstehen (URS ACHERMANN, Privatisierung im öffentlichen Verkehr, 2008, S. 115; HÄFELIN/MÜLLER/UHLMANN, Allgemeines Verwaltungsrecht, 5. Aufl. 2006, Rz. 285 f.; UHLMANN/HINDERLING, Transportrecht, in: Verkehrsrecht, Georg Müller [Hrsg.], SBVR Bd. IV, 2008, Rz. 38 und 49). Jedenfalls handelt es sich bei Streitigkeiten über den Fahrpreis um vermögensrechtliche Auseinandersetzungen, die zum Zivilrecht zu zählen sind. Zwar beruhen die Fahrpreise auf einem im Transportgesetz vorgeschriebenen Tarif (vgl. Art. 9-11 TG ), der über eine möglicherweise öffentlich-rechtliche oder gemischt-rechtliche Natur verfügt (vgl. BGE 102 Ib 314 E. 3a S. 317). Auch die Zuschläge sind von Gesetzes wegen im Tarif zu regeln ( Art. 16 Abs. 2 TG ). Sie haben aber keinen Bussen- oder Strafcharakter, sondern entgelten einzig den Kontrollaufwand auf Seiten der Transportunternehmung (vgl. Art. 16 Abs. 5 TG ; BBl 1983 II 186; Urteil des Bundesgerichts 2A.602/2004 vom 21. Oktober 2004 E. 2.1). Die Zuschläge sind zwar Gebühren oder anderen BGE 136 II 489 S. 493 vergleichbaren Kausalabgaben ähnlich, stellen aber - nicht anders als der Fahrpreis - keine solchen, sondern Forderungen aus dem privatrechtlichen Transportverhältnis dar. Bei der Leistung des Zuschlags handelt es sich daher um die Erfüllung einer im Tarif kodifizierten zivilrechtlichen Nebenpflicht des Transportvertrages (vgl. dazu schon das Bundesverwaltungsgericht in seinem Urteil A-420/2007 vom 3. September 2007 E. 1.4 sowie BGE 102 Ib 314 E. 3a S. 317). Daran ändert nichts, dass die Zuschläge im Transportgesetz über eine ausdrückliche gesetzliche Grundlage verfügen ( Art. 16 TG ), deren Rechtsnatur erneut gemischt-rechtlich sein dürfte; vielmehr beruht dies letztlich darauf, dass den Bundesbahnen eine staatliche Aufgabe übertragen ist, weshalb sie auch im privatrechtlichen Tätigkeitsbereich an die Grundrechte gebunden sind (vgl. Art. 35 Abs. 2 und Art. 36 Abs. 1 BV ; GEORG MÜLLER, Schutzwirkung der Grundrechte, in: Handbuch der Grundrechte [...], Bd. VII/2: Grundrechte in der Schweiz und in Liechtenstein, Merten/Papier [Hrsg.], 2007, Rz. 14 ff.; HÄFELIN/MÜLLER/UHLMANN, a.a.O., Rz. 295 f.; TSCHANNEN/ZIMMERLI/MÜLLER, Allgemeines Verwaltungsrecht, 3. Aufl. 2009, § 42 Nr. 6) bzw. die aus dem allgemeinen Legalitätsprinzip nach Art. 5 Abs. 1 BV abgeleiteten Anforderungen zu wahren haben (vgl. etwa ACHERMANN, a.a.O., S. 106 ff.; PETER UEBERSAX, Privatisierung der Verwaltung, in: ZBl 102/2001 S. 409).</w:t>
      </w:r>
    </w:p>
    <w:p>
      <w:r>
        <w:rPr>
          <w:b/>
        </w:rPr>
        <w:t>E. 2.5</w:t>
      </w:r>
    </w:p>
    <w:p>
      <w:r>
        <w:t>Ist der Zuschlag privatrechtlicher Natur, über den im Streitfall auf dem Weg der Zivilgerichtsbarkeit zu entscheiden ist, zählt er nicht zum öffentlichen Recht. Damit handelt es sich im vorliegenden Fall nicht um eine Angelegenheit des öffentlichen Rechts gemäss Art. 82 lit. a BGG , weshalb die Beschwerde in öffentlich-rechtlichen Angelegenheiten entfällt. Daran ändert nichts, dass das Verwaltungsgericht von einem öffentlich-rechtlichen Streit und daher von seiner Zuständigkeit ausgegangen ist (dazu im Übrigen E. 3). Die Zulässigkeit eines Rechtsmittels an das Bundesgericht hängt nicht von der Einschätzung der Rechtsnatur durch die Vorinstanz ab, sondern ergibt sich objektiv nach der tatsächlichen Rechtsnatur, worüber das Bundesgericht frei und von Amtes wegen entscheidet (vgl. Art. 29 Abs. 1 BGG ; BGE 135 III 1 E. 1.1 S. 3 mit Hinweisen).</w:t>
      </w:r>
    </w:p>
    <w:p>
      <w:r>
        <w:rPr>
          <w:b/>
        </w:rPr>
        <w:t>E. 2.6</w:t>
      </w:r>
    </w:p>
    <w:p>
      <w:r>
        <w:t>Zu prüfen ist diesfalls, ob eventuell die Beschwerde in Zivilsachen nach Art. 72 BGG zulässig wäre. Allerdings setzt eine solche einen Streitwert von mindestens 30'000.- Franken voraus ( Art. 74 Abs. 1 lit. b BGG ), der hier bei weitem nicht vorliegt. Die Beschwerde BGE 136 II 489 S. 494 ist - von hier nicht interessierenden weiteren Ausnahmetatbeständen abgesehen - trotzdem zulässig, wenn sich eine Rechtsfrage von grundsätzlicher Bedeutung stellt ( Art. 74 Abs. 2 lit. a BGG ), wobei in der Beschwerdeschrift auszuführen ist, warum diese Voraussetzung erfüllt ist ( Art. 42 Abs. 2 BGG ; vgl. BGE 133 III 439 E. 2.2.2.1 S. 442). Die vorliegende Beschwerdeschrift enthält keine entsprechenden Ausführungen, weshalb die Beschwerde in Zivilsachen schon aus diesem Grunde ausgeschlossen ist. Im Übrigen sind die Anforderungen der Rechtsprechung nicht erfüllt, wonach eine Frage von grundsätzlicher Bedeutung dann vorliegt, wenn diese zu einer erheblichen Rechtsunsicherheit führt und daher dringend einer Klärung durch das Bundesgericht bedarf (vgl. BGE 135 III 397 E. 1.2 S. 399 f.). Das würde allenfalls höchstens auf die Frage des kantonalen Instanzenzugs zutreffen, doch erhebt der Beschwerdeführer eine entsprechende Rüge gerade nicht (vgl. E. 3), weshalb nicht daraus die grundsätzliche Bedeutung des vorliegenden Falles abgeleitet werden kann.</w:t>
      </w:r>
    </w:p>
    <w:p>
      <w:r>
        <w:rPr>
          <w:b/>
        </w:rPr>
        <w:t>E. 2.7</w:t>
      </w:r>
    </w:p>
    <w:p>
      <w:r>
        <w:t>Damit verbleibt als mögliche Beschwerdeart einzig die subsidiäre Verfassungsbeschwerde nach Art. 113 ff. BGG , die gegen Entscheide letzter kantonaler Instanzen offensteht, soweit keine andere Beschwerde nach dem Bundesgerichtsgesetz zulässig ist. Diese Voraussetzungen sind hier erfüllt. Der Beschwerdeführer hat vor der Vorinstanz am Verfahren teilgenommen und hat ein rechtlich geschütztes Interesse an der Aufhebung oder Änderung des angefochtenen Entscheides, womit er zur Beschwerde legitimiert ist (vgl. Art. 115 BGG ). Gerügt werden kann allerdings einzig die Verletzung von verfassungsmässigen Rechten ( Art. 116 BGG ). Der Beschwerdeführer beschränkt sich im Wesentlichen auf die Erhebung solcher Rügen. Insoweit ist seine Eingabe an das Bundesgericht demnach als subsidiäre Verfassungsbeschwerde entgegenzunehmen.</w:t>
      </w:r>
    </w:p>
    <w:p>
      <w:r>
        <w:rPr>
          <w:b/>
        </w:rPr>
        <w:t>E. 2.8</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BGE 133 II 396 E. 3.1 S. 399). Insbesondere tritt das Bundesgericht im Zusammenhang mit der Willkürrüge auf rein appellatorische Kritik am angefochtenen Entscheid nicht ein (vgl. BGE 133 II 396 E. 3.1 S. 399; BGE 130 I 258 E. 1.3 S. 261 mit Hinweis). BGE 136 II 489 S. 495</w:t>
      </w:r>
    </w:p>
    <w:p>
      <w:r>
        <w:rPr>
          <w:b/>
        </w:rPr>
        <w:t>E. 3.1</w:t>
      </w:r>
    </w:p>
    <w:p>
      <w:r>
        <w:t>Das Bundesamt wendet vorweg ein, der angefochtene Entscheid sei schon deshalb aufzuheben, weil er an der vermeintlichen Verfügungskompetenz der Verkehrsbetriebe anknüpfe und deren Verfügung, für welche die Verkehrsbetriebe gar nicht zuständig gewesen seien, letztlich schütze. Es sei im vorliegenden Fall im Kanton schlicht der falsche Rechtsmittelweg beschritten worden.</w:t>
      </w:r>
    </w:p>
    <w:p>
      <w:r>
        <w:rPr>
          <w:b/>
        </w:rPr>
        <w:t>E. 3.2</w:t>
      </w:r>
    </w:p>
    <w:p>
      <w:r>
        <w:t>Dieser Einwand dürfte angesichts von § 1 des zürcherischen Verwaltungsrechtspflegegesetzes vom 24. Mai 1959 (VRG; LS 175.2) grundsätzlich begründet sein, wonach öffentlich-rechtliche Angelegenheiten von den Verwaltungsbehörden und vom Verwaltungsgericht entschieden werden, privatrechtliche Ansprüche hingegen vor den Zivilgerichten geltend zu machen sind. Die Vorinstanz hat ihre Zuständigkeit, ohne die Rechtsnatur des Streitgegenstandes näher zu prüfen, insoweit fälschlicherweise auf § 19c Abs. 2 VRG und § 41 VRG gestützt, worin die Voraussetzungen für einen Rekurs beim Verwaltungsgericht festgelegt werden. Der Beschwerdeführer macht indessen die Unzuständigkeit des Verwaltungsgerichts bzw. von dessen Unterinstanzen nicht geltend. Gestützt auf eine solche ausdrückliche und begründete Rüge hätte die Beschwerde allenfalls als eine solche in Zivilsachen mit einer Rechtsfrage von grundsätzlicher Bedeutung (gemäss Art. 74 Abs. 2 lit. a BGG ) zulässig sein und behandelt werden können. Mangels rechtsgenüglicher Rüge ist dies aber ausgeschlossen (vgl. E. 2.6 und 2.8). Auf diese Frage ist daher grundsätzlich nicht einzugehen (vgl. für die umgekehrte Konstellation zwischen privat- und öffentlich-rechtlichem Rechtsmittelweg etwa das Urteil des Bundesgerichts 2C_58/2009 vom 4. Februar 2009 E. 1.4).</w:t>
      </w:r>
    </w:p>
    <w:p>
      <w:r>
        <w:rPr>
          <w:b/>
        </w:rPr>
        <w:t>E. 3.3</w:t>
      </w:r>
    </w:p>
    <w:p>
      <w:r>
        <w:t>Immerhin wäre die Unzuständigkeit von Amtes wegen zu berücksichtigen, wenn der angefochtene Entscheid geradezu nichtig wäre. Zwar kann die funktionelle oder sachliche Unzuständigkeit einer Behörde einen Nichtigkeitsgrund für deren Entscheide darstellen (vgl. BGE 127 II 32 E. 3g S. 47 f. mit Hinweisen). Vorausgesetzt ist aber, dass der Mangel besonders schwer und offensichtlich oder zumindest leicht erkennbar ist und die Rechtssicherheit durch die Annahme der Nichtigkeit nicht ernsthaft gefährdet wird ( BGE 132 II 342 E. 2.1 S. 346). Im vorliegenden Fall war die fehlende Kompetenz der öffentlich-rechtlichen Instanzen indessen nicht offensichtlich. Die Unzuständigkeit der öffentlich-rechtlichen Rechtsmittelinstanzen ist lange Zeit nicht klar gewesen und wurde den beteiligten BGE 136 II 489 S. 496 Behörden erst in den letzten Jahren allmählich bewusst. Bezeichnenderweise haben sich die Vorinstanzen ohne Zögern als kompetent erachtet. Ausserdem haben sich alle Verfahrensbeteiligten vorbehaltlos auf das Verfahren eingelassen. Es verträgt sich daher nicht mit der Rechtssicherheit und rechtfertigt sich nicht, nunmehr in letzter Instanz von Amtes wegen auf Nichtigkeit zu erkennen und die ganze Sache von Anfang an an den Zivilrichter zu verweisen. Das Bundesgericht hat dies bei analoger prozessualer Ausgangslage in einem auch inhaltlich ähnlich gelagerten Streitfall im Urteil 2A.602/2004 vom 21. Oktober 2004 ebenfalls nicht getan. Es hat den damaligen Fall sogar im vereinfachten Verfahren entschieden und sich überhaupt nicht zur Zuständigkeit der öffentlich-rechtlichen Instanzen bzw. zum damals beschrittenen öffentlich-rechtlichen Rechtsmittelweg geäussert. Damit ist nicht von einer offensichtlichen Unzuständigkeit auszugehen, die mit der Nichtigkeitsfolge verbunden wäre. Die zuständigen Behörden und betroffenen Beteiligten werden in künftigen Fällen die Zuständigkeitsordnung aber zu beachten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